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34941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ТЕХНИЧЕСКИЕ ХАРАКТЕРИСТИКИ</w:t>
      </w:r>
    </w:p>
    <w:p w14:paraId="759DECA5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Цифровая конусно-лучевая компьютерная томография (КЛКТ) и система панорамного обследования</w:t>
      </w:r>
    </w:p>
    <w:p w14:paraId="468C7253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 Общие положения и конфигурация системы</w:t>
      </w:r>
    </w:p>
    <w:p w14:paraId="150AA1B6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Назначение: Система предназначена для высококачественных 2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 3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исследований зубочелюстной системы, ЛОР-органов и височно-нижнечелюстного сустава.</w:t>
      </w:r>
    </w:p>
    <w:p w14:paraId="53EA8880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678377FB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Конструкция: Компактная конструкция и эргономичная структура для обеспечения максимального комфорта и безопасности пациента.</w:t>
      </w:r>
    </w:p>
    <w:p w14:paraId="399EBE16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9EF2D08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Тип оборудования: Комбинированная система для 2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/3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исследований.</w:t>
      </w:r>
    </w:p>
    <w:p w14:paraId="079F59FC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74BD65E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Тип установки: Удлиненная колонна, установленная на полу.</w:t>
      </w:r>
    </w:p>
    <w:p w14:paraId="036B8202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E67407F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Эргономика: Возможность управления с левой или правой стороны (опционально, по заказу заказчика), включая сенсорную клавиатуру, установленную на корпусе, вращающуюся дугу и лазерные направляющие.</w:t>
      </w:r>
    </w:p>
    <w:p w14:paraId="6A2223B2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AC06285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2. Рентгеновский генератор и трубка</w:t>
      </w:r>
    </w:p>
    <w:p w14:paraId="01904FA7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Тип генератора: Генератор постоянного напряжения (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DC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).</w:t>
      </w:r>
    </w:p>
    <w:p w14:paraId="184C6A26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690FB4A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Анодное напряжение: Регулируемое в диапазоне 60–90 кВ. • Ток анода: 2–16 мА (импульсный режим при 3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-исследованиях).</w:t>
      </w:r>
    </w:p>
    <w:p w14:paraId="43050FCD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43BF966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• Размер фокусного пятна: не более 0,6 мм (согласно стандарту 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IEC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60336).</w:t>
      </w:r>
    </w:p>
    <w:p w14:paraId="7BDB944B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1D50412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Регулировка излучения: автоматическая система регулировки дозы облучения в зависимости от анатомических особенностей и состава тела пациента.</w:t>
      </w:r>
    </w:p>
    <w:p w14:paraId="540A0612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F97D115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3. Система получения изображений (детектор)</w:t>
      </w:r>
    </w:p>
    <w:p w14:paraId="1E3CE5BA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• Тип детектора: высокочувствительный 3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/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PAN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фиксированный плоский панельный детектор (технология 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IGZO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).</w:t>
      </w:r>
    </w:p>
    <w:p w14:paraId="2145D4E8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F0594F0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Размер 3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-вокселя: не более 80 мкм для детального анатомического анализа.</w:t>
      </w:r>
    </w:p>
    <w:p w14:paraId="642F67B1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9A9ED76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Разрешение: 6,25 лп/мм (лп/мм) в 3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-режиме.</w:t>
      </w:r>
    </w:p>
    <w:p w14:paraId="57077A85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4F41210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4. Поле зрения (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FOV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 Система должна обеспечивать широкий выбор полей зрения (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FOV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 для решения различных клинических задач.</w:t>
      </w:r>
    </w:p>
    <w:p w14:paraId="3265D02C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6EFF218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Стоматологические осмотры: 6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6, 8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6, 8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8, 10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10, 11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6, 11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8, 11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11 см (15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11 см — опционально).</w:t>
      </w:r>
    </w:p>
    <w:p w14:paraId="3E27287C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F48E580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Осмотры носовой полости: 8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8, 10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10, 11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8, 11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11 см.</w:t>
      </w:r>
    </w:p>
    <w:p w14:paraId="2A995224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6F1059F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Исследования спинномозговой жидкости: 10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10, 11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6, 11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11 см.</w:t>
      </w:r>
    </w:p>
    <w:p w14:paraId="777176BB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6E4D932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Секторальное сканирование: возможность ограничить облучение только интересующей областью.</w:t>
      </w:r>
    </w:p>
    <w:p w14:paraId="246D3758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CF0FF31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Набор 3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-изображений 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CSB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: (13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6, 13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10, 15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6, 15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11) для двух специальных исследований 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CSB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(двойные поля сканирования, которые могут не охватывать весь зубной ряд) (опционально).</w:t>
      </w:r>
    </w:p>
    <w:p w14:paraId="147AB493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26E209A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5. Режимы и функции исследования</w:t>
      </w:r>
    </w:p>
    <w:p w14:paraId="15E58C70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3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-режимы: Возможность сканирования в низкодозовом, стандартном и высококачественном режимах.</w:t>
      </w:r>
    </w:p>
    <w:p w14:paraId="22496C05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5C1D2A8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2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-панорамные исследования: Стандартная панорама, ортогональная, педиатрическая панорама, межпроксимальная визуализация, исследования околоносовых пазух и 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CSB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27BB64E1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B19CA4D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Функция получения не менее 5 различных фокальных слоев за одно сканирование для выбора наилучшего диагностического изображения.</w:t>
      </w:r>
    </w:p>
    <w:p w14:paraId="0772DF84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CF581E0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Уменьшение артефактов от металла: Автоматические адаптивные алгоритмы для минимизации помех, вызванных металлическими конструкциями.</w:t>
      </w:r>
    </w:p>
    <w:p w14:paraId="51844DAF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BA50E36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6. Эргономика, позиционирование и безопасность</w:t>
      </w:r>
    </w:p>
    <w:p w14:paraId="661F0D13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Вспомогательные средства позиционирования: Не менее 3 лазерных указателей.</w:t>
      </w:r>
    </w:p>
    <w:p w14:paraId="50457B7A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49ECE8A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Система лазерного позиционирования стоп: Встроенная лазерная система для контроля правильного положения стоп пациента, что обеспечивает стабильное положение тела и устраняет артефакты движения изображения.</w:t>
      </w:r>
    </w:p>
    <w:p w14:paraId="2B664818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DE890E5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Система первичной визуализации: Система для получения двух первичных низкодозовых изображений (фронтального и бокового) с возможностью перемещения рамки зоны сканирования на 1 см влево-вправо, вверх-вниз для точного выбора зоны сканирования.</w:t>
      </w:r>
    </w:p>
    <w:p w14:paraId="2E0B624E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5C71E42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Управление: Сенсорная панель управления, установленная на устройстве (не менее 7 дюймов), и возможность виртуального управления с компьютера.</w:t>
      </w:r>
    </w:p>
    <w:p w14:paraId="42E08E3D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BBD7FD8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• Низкодозовая система исследования с дополнительным фильтром (1 мм 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Al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), обеспечивающая снижение дозы облучения при сохранении высокого качества (в соответствии с международными стандартами).</w:t>
      </w:r>
    </w:p>
    <w:p w14:paraId="6FDE5875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FF47C49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Система охлаждения: Встроенная система активного охлаждения для обеспечения бесперебойной работы во время исследований высокой интенсивности.</w:t>
      </w:r>
    </w:p>
    <w:p w14:paraId="2150D90F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5A3D470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• Кнопка дистанционного управления: Кнопка дистанционного управления экспозицией с кабелем длиной 20 метров.</w:t>
      </w:r>
    </w:p>
    <w:p w14:paraId="6919AB2B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8C892B3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• Освещение и индикация:</w:t>
      </w:r>
    </w:p>
    <w:p w14:paraId="61B09D17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Наличие встроенной системы мягкого освещения для комфорта пациента.</w:t>
      </w:r>
    </w:p>
    <w:p w14:paraId="4F8760CF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o Наличие зеркала со встроенной световой индикацией состояния устройства (подготовка, процесс сканирования и т. д.).</w:t>
      </w:r>
    </w:p>
    <w:p w14:paraId="1799BCCB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EC782E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• Наличие системы «Имитация», предназначенной для имитации исследования без включения излучения.</w:t>
      </w:r>
    </w:p>
    <w:p w14:paraId="2DCB8502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BA60C9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Программное обеспечение и рабочая станция</w:t>
      </w:r>
    </w:p>
    <w:p w14:paraId="501FEEA9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• Рабочая станция: Специализированный компьютер для обработки и реконструкции рентгеновских снимков.</w:t>
      </w:r>
    </w:p>
    <w:p w14:paraId="7413BC1B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245B89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• Монитор: диагональ не менее 23 дюймов, яркость не менее 300 кд/м².</w:t>
      </w:r>
    </w:p>
    <w:p w14:paraId="71D856D5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880ED6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• Программное обеспечение и совместимость. Профессиональный пакет для обработки, архивирования и 3D-визуализации. Полная поддержка стандартов DICOM 3.0, RIS/PACS и TWAIN.</w:t>
      </w:r>
    </w:p>
    <w:p w14:paraId="65ADD91E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6F48A3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• Инструменты планирования: инструменты планирования и моделирования имплантации.</w:t>
      </w:r>
    </w:p>
    <w:p w14:paraId="1D426EE8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A57E05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• Искусственный интеллект (ИИ): возможность активации встроенного набора алгоритмов для автоматического анализа 2D и 3D стоматологических изображений (опционально).</w:t>
      </w:r>
    </w:p>
    <w:p w14:paraId="1FE04116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92DB677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• Лицензирование:</w:t>
      </w:r>
    </w:p>
    <w:p w14:paraId="69BDEC63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o Лицензия на активацию 2D/3D диагностических функций (до 25 рабочих станций).</w:t>
      </w:r>
    </w:p>
    <w:p w14:paraId="3622873B" w14:textId="77777777" w:rsidR="000161D8" w:rsidRPr="000161D8" w:rsidRDefault="000161D8" w:rsidP="00016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F677CD" w14:textId="65AAA02C" w:rsidR="00566455" w:rsidRPr="000161D8" w:rsidRDefault="000161D8" w:rsidP="000161D8">
      <w:r w:rsidRPr="000161D8">
        <w:rPr>
          <w:rFonts w:ascii="Times New Roman" w:eastAsia="Times New Roman" w:hAnsi="Times New Roman" w:cs="Times New Roman"/>
          <w:b/>
          <w:bCs/>
          <w:sz w:val="24"/>
          <w:szCs w:val="24"/>
        </w:rPr>
        <w:t>o Панорамные и 3D-исследования.</w:t>
      </w:r>
    </w:p>
    <w:sectPr w:rsidR="00566455" w:rsidRPr="000161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2F6A"/>
    <w:multiLevelType w:val="multilevel"/>
    <w:tmpl w:val="71F40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747804"/>
    <w:multiLevelType w:val="multilevel"/>
    <w:tmpl w:val="01D8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20C59"/>
    <w:multiLevelType w:val="multilevel"/>
    <w:tmpl w:val="A970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FE0579"/>
    <w:multiLevelType w:val="multilevel"/>
    <w:tmpl w:val="3F14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FD3C30"/>
    <w:multiLevelType w:val="multilevel"/>
    <w:tmpl w:val="5B7E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3E0A2C"/>
    <w:multiLevelType w:val="hybridMultilevel"/>
    <w:tmpl w:val="26B2E9F6"/>
    <w:lvl w:ilvl="0" w:tplc="14FA18D2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07869"/>
    <w:multiLevelType w:val="multilevel"/>
    <w:tmpl w:val="3970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685EAA"/>
    <w:multiLevelType w:val="hybridMultilevel"/>
    <w:tmpl w:val="3AFC5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474BC"/>
    <w:multiLevelType w:val="multilevel"/>
    <w:tmpl w:val="31FAA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2D6369"/>
    <w:multiLevelType w:val="multilevel"/>
    <w:tmpl w:val="1B26E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AE273A"/>
    <w:multiLevelType w:val="multilevel"/>
    <w:tmpl w:val="1032C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E16EFC"/>
    <w:multiLevelType w:val="multilevel"/>
    <w:tmpl w:val="2A929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047672"/>
    <w:multiLevelType w:val="multilevel"/>
    <w:tmpl w:val="6DAE2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0D23A9"/>
    <w:multiLevelType w:val="multilevel"/>
    <w:tmpl w:val="93A23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8E1CBF"/>
    <w:multiLevelType w:val="multilevel"/>
    <w:tmpl w:val="1CC04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DD1F61"/>
    <w:multiLevelType w:val="multilevel"/>
    <w:tmpl w:val="1424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C60CE3"/>
    <w:multiLevelType w:val="multilevel"/>
    <w:tmpl w:val="34DE9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AF63CE"/>
    <w:multiLevelType w:val="multilevel"/>
    <w:tmpl w:val="413CF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F62BF1"/>
    <w:multiLevelType w:val="multilevel"/>
    <w:tmpl w:val="D6FC3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AF18E5"/>
    <w:multiLevelType w:val="multilevel"/>
    <w:tmpl w:val="959E5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99029A"/>
    <w:multiLevelType w:val="multilevel"/>
    <w:tmpl w:val="F19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5C2333"/>
    <w:multiLevelType w:val="multilevel"/>
    <w:tmpl w:val="19D0B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D76975"/>
    <w:multiLevelType w:val="multilevel"/>
    <w:tmpl w:val="FD228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A65102"/>
    <w:multiLevelType w:val="multilevel"/>
    <w:tmpl w:val="FBBAD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5052432">
    <w:abstractNumId w:val="8"/>
  </w:num>
  <w:num w:numId="2" w16cid:durableId="130169808">
    <w:abstractNumId w:val="21"/>
  </w:num>
  <w:num w:numId="3" w16cid:durableId="342323917">
    <w:abstractNumId w:val="16"/>
  </w:num>
  <w:num w:numId="4" w16cid:durableId="552692738">
    <w:abstractNumId w:val="1"/>
  </w:num>
  <w:num w:numId="5" w16cid:durableId="140780787">
    <w:abstractNumId w:val="23"/>
  </w:num>
  <w:num w:numId="6" w16cid:durableId="652366729">
    <w:abstractNumId w:val="0"/>
  </w:num>
  <w:num w:numId="7" w16cid:durableId="1001080781">
    <w:abstractNumId w:val="10"/>
  </w:num>
  <w:num w:numId="8" w16cid:durableId="907423357">
    <w:abstractNumId w:val="20"/>
  </w:num>
  <w:num w:numId="9" w16cid:durableId="284115268">
    <w:abstractNumId w:val="11"/>
  </w:num>
  <w:num w:numId="10" w16cid:durableId="1600991505">
    <w:abstractNumId w:val="18"/>
  </w:num>
  <w:num w:numId="11" w16cid:durableId="1249148572">
    <w:abstractNumId w:val="19"/>
  </w:num>
  <w:num w:numId="12" w16cid:durableId="1869298752">
    <w:abstractNumId w:val="22"/>
  </w:num>
  <w:num w:numId="13" w16cid:durableId="2120831427">
    <w:abstractNumId w:val="2"/>
  </w:num>
  <w:num w:numId="14" w16cid:durableId="1830175886">
    <w:abstractNumId w:val="15"/>
  </w:num>
  <w:num w:numId="15" w16cid:durableId="560480006">
    <w:abstractNumId w:val="6"/>
  </w:num>
  <w:num w:numId="16" w16cid:durableId="465392837">
    <w:abstractNumId w:val="7"/>
  </w:num>
  <w:num w:numId="17" w16cid:durableId="1854758978">
    <w:abstractNumId w:val="5"/>
  </w:num>
  <w:num w:numId="18" w16cid:durableId="358508450">
    <w:abstractNumId w:val="13"/>
  </w:num>
  <w:num w:numId="19" w16cid:durableId="1951087638">
    <w:abstractNumId w:val="3"/>
  </w:num>
  <w:num w:numId="20" w16cid:durableId="2067220770">
    <w:abstractNumId w:val="17"/>
  </w:num>
  <w:num w:numId="21" w16cid:durableId="354507021">
    <w:abstractNumId w:val="4"/>
  </w:num>
  <w:num w:numId="22" w16cid:durableId="1655917484">
    <w:abstractNumId w:val="12"/>
  </w:num>
  <w:num w:numId="23" w16cid:durableId="1836532857">
    <w:abstractNumId w:val="9"/>
  </w:num>
  <w:num w:numId="24" w16cid:durableId="17287200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CFF"/>
    <w:rsid w:val="000161D8"/>
    <w:rsid w:val="00135F0F"/>
    <w:rsid w:val="002A38FF"/>
    <w:rsid w:val="003E121A"/>
    <w:rsid w:val="003F599C"/>
    <w:rsid w:val="00417918"/>
    <w:rsid w:val="00481926"/>
    <w:rsid w:val="00566455"/>
    <w:rsid w:val="005D07F5"/>
    <w:rsid w:val="00707E8E"/>
    <w:rsid w:val="00725E9F"/>
    <w:rsid w:val="008C2D10"/>
    <w:rsid w:val="00951D57"/>
    <w:rsid w:val="00974F45"/>
    <w:rsid w:val="00A26F11"/>
    <w:rsid w:val="00D47CFF"/>
    <w:rsid w:val="00F2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D83BD"/>
  <w15:chartTrackingRefBased/>
  <w15:docId w15:val="{325EE731-1AF7-4B03-8E71-B973CB85C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645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07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Yeghikian</dc:creator>
  <cp:keywords/>
  <dc:description/>
  <cp:lastModifiedBy>hasmik hasmik</cp:lastModifiedBy>
  <cp:revision>3</cp:revision>
  <dcterms:created xsi:type="dcterms:W3CDTF">2026-02-23T12:54:00Z</dcterms:created>
  <dcterms:modified xsi:type="dcterms:W3CDTF">2026-03-24T17:47:00Z</dcterms:modified>
</cp:coreProperties>
</file>